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18"/>
        </w:rPr>
        <w:t xml:space="preserve">Позиция ВС РФ, ВАС РФ:</w:t>
      </w:r>
    </w:p>
    <w:p>
      <w:pPr>
        <w:pStyle w:val="0"/>
      </w:pPr>
      <w:hyperlink w:history="0" r:id="rId4" w:tooltip="Позиция ВС РФ, ВАС РФ: Банк может уступить требования по кредитным обязательствам должника, связанным с осуществлением им предпринимательской деятельности, новому кредитору, не являющемуся кредитной организацией, без соответствующего запрета в договоре и согласия заемщика Определение Верховного Суда РФ от 22.03.2016 N 19-КГ15-49 и другие акты высших судов Применимые нормы: п. п. 1, 2 ст. 382, п. 1 ст. 388 ГК РФ {КонсультантПлюс}">
        <w:r>
          <w:rPr>
            <w:sz w:val="20"/>
            <w:color w:val="0000ff"/>
          </w:rPr>
          <w:t xml:space="preserve">Банк может уступить требования по кредитным обязательствам должника, связанным с осуществлением им предпринимательской деятельности, новому кредитору, не являющемуся кредитной организацией, без соответствующего запрета в договоре и согласия заемщика</w:t>
        </w:r>
      </w:hyperlink>
    </w:p>
    <w:p>
      <w:pPr>
        <w:pStyle w:val="0"/>
      </w:pPr>
      <w:r>
        <w:rPr>
          <w:sz w:val="18"/>
        </w:rPr>
        <w:t xml:space="preserve">Определение Верховного Суда РФ от 22.03.2016 N 19-КГ15-49 и другие акты высших судов</w:t>
        <w:br/>
        <w:t xml:space="preserve">Применимые нормы: п. п. 1, 2 ст. 382, п. 1 ст. 388 ГК РФ</w:t>
      </w:r>
    </w:p>
    <w:p>
      <w:pPr>
        <w:pBdr>
          <w:left w:val="single" w:sz="16" w:color="7f7f7f"/>
        </w:pBdr>
        <w:pStyle w:val="0"/>
        <w:ind w:left="540"/>
      </w:pPr>
      <w:r>
        <w:rPr>
          <w:sz w:val="18"/>
        </w:rPr>
        <w:t xml:space="preserve">Для перехода прав кредитора к другому лицу не нужно согласие должника, если иное не предусмотрено законом или договором. Статьи 382, 383 ГК РФ не содержат запрета банкам уступать требование по кредитным обязательствам должника, связанным с осуществлением им предпринимательской деятельности, в пользу нового кредитора, который не...</w:t>
      </w:r>
    </w:p>
    <w:sectPr>
      <w:headerReference w:type="default" r:id="rId2"/>
      <w:headerReference w:type="first" r:id="rId2"/>
      <w:footerReference w:type="default" r:id="rId3"/>
      <w:footerReference w:type="first" r:id="rId3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Список документов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23.07.2024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footer" Target="footer1.xml"/>
	<Relationship Id="rId4" Type="http://schemas.openxmlformats.org/officeDocument/2006/relationships/hyperlink" Target="https://login.consultant.ru/link/?req=doc&amp;base=PPVS&amp;n=2164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4024.00.30</Application>
  <Company>КонсультантПлюс Версия 4024.00.30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документов</dc:title>
  <dcterms:created xsi:type="dcterms:W3CDTF">2024-07-23T10:25:06Z</dcterms:created>
</cp:coreProperties>
</file>